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282A79"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917E9E">
        <w:rPr>
          <w:rFonts w:ascii="Times New Roman" w:hAnsi="Times New Roman"/>
          <w:noProof/>
          <w:szCs w:val="24"/>
        </w:rPr>
        <w:t>Dominic</w:t>
      </w:r>
      <w:r w:rsidR="00003AAA">
        <w:rPr>
          <w:rFonts w:ascii="Times New Roman" w:hAnsi="Times New Roman"/>
          <w:noProof/>
          <w:szCs w:val="24"/>
        </w:rPr>
        <w:t xml:space="preserve"> </w:t>
      </w:r>
      <w:r w:rsidR="00917E9E" w:rsidRPr="00917E9E">
        <w:rPr>
          <w:rFonts w:ascii="Times New Roman" w:hAnsi="Times New Roman"/>
          <w:noProof/>
          <w:szCs w:val="24"/>
        </w:rPr>
        <w:t>Bencivenga</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17E9E">
        <w:rPr>
          <w:rFonts w:ascii="Times New Roman" w:hAnsi="Times New Roman"/>
          <w:b/>
          <w:i/>
          <w:szCs w:val="24"/>
          <w:u w:val="single"/>
        </w:rPr>
        <w:t>Education’s Role in Rebuilding our Downtowns</w:t>
      </w:r>
      <w:bookmarkStart w:id="0" w:name="_GoBack"/>
      <w:bookmarkEnd w:id="0"/>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282A79"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A79" w:rsidRDefault="00282A79">
      <w:r>
        <w:separator/>
      </w:r>
    </w:p>
  </w:endnote>
  <w:endnote w:type="continuationSeparator" w:id="0">
    <w:p w:rsidR="00282A79" w:rsidRDefault="0028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82A79">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A79" w:rsidRDefault="00282A79">
      <w:r>
        <w:separator/>
      </w:r>
    </w:p>
  </w:footnote>
  <w:footnote w:type="continuationSeparator" w:id="0">
    <w:p w:rsidR="00282A79" w:rsidRDefault="00282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82A79">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282A7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2A79"/>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93404"/>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8DD7D-FD74-436C-9F60-F80B59C7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2013-10-30T15:51:00Z</dcterms:created>
  <dcterms:modified xsi:type="dcterms:W3CDTF">2013-10-30T15:51:00Z</dcterms:modified>
</cp:coreProperties>
</file>